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523" w:rsidRPr="00B6486B" w:rsidRDefault="003E6523" w:rsidP="00B6486B">
      <w:bookmarkStart w:id="0" w:name="_GoBack"/>
      <w:r w:rsidRPr="00B6486B">
        <w:t xml:space="preserve">Table </w:t>
      </w:r>
      <w:r w:rsidR="00B6486B" w:rsidRPr="00B6486B">
        <w:rPr>
          <w:noProof/>
        </w:rPr>
        <w:fldChar w:fldCharType="begin"/>
      </w:r>
      <w:r w:rsidR="00B6486B" w:rsidRPr="00B6486B">
        <w:rPr>
          <w:noProof/>
        </w:rPr>
        <w:instrText xml:space="preserve"> SEQ Table \* ARABIC </w:instrText>
      </w:r>
      <w:r w:rsidR="00B6486B" w:rsidRPr="00B6486B">
        <w:rPr>
          <w:noProof/>
        </w:rPr>
        <w:fldChar w:fldCharType="separate"/>
      </w:r>
      <w:r w:rsidRPr="00B6486B">
        <w:rPr>
          <w:noProof/>
        </w:rPr>
        <w:t>3</w:t>
      </w:r>
      <w:r w:rsidR="00B6486B" w:rsidRPr="00B6486B">
        <w:rPr>
          <w:noProof/>
        </w:rPr>
        <w:fldChar w:fldCharType="end"/>
      </w:r>
      <w:r w:rsidRPr="00B6486B">
        <w:rPr>
          <w:rFonts w:cs="Arial"/>
          <w:color w:val="auto"/>
          <w:lang w:val="ro-RO" w:eastAsia="ro-RO"/>
        </w:rPr>
        <w:t xml:space="preserve"> Clozapine and COVID-19</w:t>
      </w:r>
      <w:r w:rsidR="00B6486B" w:rsidRPr="00B6486B">
        <w:rPr>
          <w:rFonts w:cs="Arial"/>
          <w:color w:val="auto"/>
          <w:lang w:val="ro-RO" w:eastAsia="ro-RO"/>
        </w:rPr>
        <w:t xml:space="preserve"> </w:t>
      </w:r>
      <w:r w:rsidR="00B6486B" w:rsidRPr="00B6486B">
        <w:t>selected papers</w:t>
      </w:r>
    </w:p>
    <w:tbl>
      <w:tblPr>
        <w:tblStyle w:val="TableGrid"/>
        <w:tblW w:w="15456" w:type="dxa"/>
        <w:jc w:val="center"/>
        <w:tblLook w:val="04A0" w:firstRow="1" w:lastRow="0" w:firstColumn="1" w:lastColumn="0" w:noHBand="0" w:noVBand="1"/>
      </w:tblPr>
      <w:tblGrid>
        <w:gridCol w:w="1555"/>
        <w:gridCol w:w="2784"/>
        <w:gridCol w:w="2566"/>
        <w:gridCol w:w="8551"/>
      </w:tblGrid>
      <w:tr w:rsidR="003E6523" w:rsidRPr="00B6486B" w:rsidTr="00181A3E">
        <w:trPr>
          <w:trHeight w:val="479"/>
          <w:jc w:val="center"/>
        </w:trPr>
        <w:tc>
          <w:tcPr>
            <w:tcW w:w="1555" w:type="dxa"/>
            <w:noWrap/>
          </w:tcPr>
          <w:bookmarkEnd w:id="0"/>
          <w:p w:rsidR="003E6523" w:rsidRPr="00B6486B" w:rsidRDefault="003E6523" w:rsidP="00AE1690">
            <w:pPr>
              <w:rPr>
                <w:b/>
                <w:sz w:val="18"/>
                <w:lang w:val="ro-RO" w:eastAsia="ro-RO"/>
              </w:rPr>
            </w:pPr>
            <w:r w:rsidRPr="00B6486B">
              <w:rPr>
                <w:b/>
                <w:sz w:val="18"/>
                <w:lang w:val="ro-RO" w:eastAsia="ro-RO"/>
              </w:rPr>
              <w:t>Authors</w:t>
            </w:r>
          </w:p>
        </w:tc>
        <w:tc>
          <w:tcPr>
            <w:tcW w:w="2829" w:type="dxa"/>
          </w:tcPr>
          <w:p w:rsidR="003E6523" w:rsidRPr="00B6486B" w:rsidRDefault="003E6523" w:rsidP="00AE1690">
            <w:pPr>
              <w:rPr>
                <w:b/>
                <w:sz w:val="18"/>
                <w:lang w:val="ro-RO" w:eastAsia="ro-RO"/>
              </w:rPr>
            </w:pPr>
            <w:r w:rsidRPr="00B6486B">
              <w:rPr>
                <w:b/>
                <w:sz w:val="18"/>
                <w:lang w:val="ro-RO" w:eastAsia="ro-RO"/>
              </w:rPr>
              <w:t>Article Title</w:t>
            </w:r>
          </w:p>
        </w:tc>
        <w:tc>
          <w:tcPr>
            <w:tcW w:w="2305" w:type="dxa"/>
            <w:noWrap/>
          </w:tcPr>
          <w:p w:rsidR="003E6523" w:rsidRPr="00B6486B" w:rsidRDefault="003E6523" w:rsidP="00AE1690">
            <w:pPr>
              <w:rPr>
                <w:b/>
                <w:sz w:val="18"/>
                <w:lang w:val="ro-RO" w:eastAsia="ro-RO"/>
              </w:rPr>
            </w:pPr>
            <w:r w:rsidRPr="00B6486B">
              <w:rPr>
                <w:b/>
                <w:sz w:val="18"/>
                <w:lang w:val="ro-RO" w:eastAsia="ro-RO"/>
              </w:rPr>
              <w:t>Source Title</w:t>
            </w:r>
          </w:p>
        </w:tc>
        <w:tc>
          <w:tcPr>
            <w:tcW w:w="8767" w:type="dxa"/>
          </w:tcPr>
          <w:p w:rsidR="003E6523" w:rsidRPr="00B6486B" w:rsidRDefault="003E6523" w:rsidP="00AE1690">
            <w:pPr>
              <w:rPr>
                <w:b/>
                <w:sz w:val="18"/>
                <w:lang w:val="ro-RO" w:eastAsia="ro-RO"/>
              </w:rPr>
            </w:pPr>
            <w:r w:rsidRPr="00B6486B">
              <w:rPr>
                <w:b/>
                <w:sz w:val="18"/>
                <w:lang w:val="ro-RO" w:eastAsia="ro-RO"/>
              </w:rPr>
              <w:t>Abstract</w:t>
            </w:r>
          </w:p>
        </w:tc>
      </w:tr>
      <w:tr w:rsidR="003E6523" w:rsidRPr="00B6486B" w:rsidTr="00181A3E">
        <w:tblPrEx>
          <w:jc w:val="left"/>
        </w:tblPrEx>
        <w:trPr>
          <w:trHeight w:val="470"/>
        </w:trPr>
        <w:tc>
          <w:tcPr>
            <w:tcW w:w="1555" w:type="dxa"/>
          </w:tcPr>
          <w:p w:rsidR="003E6523" w:rsidRPr="00B6486B" w:rsidRDefault="003E6523" w:rsidP="00AE1690">
            <w:pPr>
              <w:rPr>
                <w:sz w:val="18"/>
                <w:lang w:val="ro-RO" w:eastAsia="ro-RO"/>
              </w:rPr>
            </w:pPr>
            <w:r w:rsidRPr="00B6486B">
              <w:rPr>
                <w:sz w:val="18"/>
                <w:lang w:val="ro-RO" w:eastAsia="ro-RO"/>
              </w:rPr>
              <w:t>Silva, E; Gee, S; Smith, S; Gaughran, F, 2020</w:t>
            </w:r>
          </w:p>
        </w:tc>
        <w:tc>
          <w:tcPr>
            <w:tcW w:w="2829" w:type="dxa"/>
          </w:tcPr>
          <w:p w:rsidR="003E6523" w:rsidRPr="00B6486B" w:rsidRDefault="003E6523" w:rsidP="00AE1690">
            <w:pPr>
              <w:rPr>
                <w:sz w:val="18"/>
                <w:lang w:val="ro-RO" w:eastAsia="ro-RO"/>
              </w:rPr>
            </w:pPr>
            <w:r w:rsidRPr="00B6486B">
              <w:rPr>
                <w:sz w:val="18"/>
                <w:lang w:val="ro-RO" w:eastAsia="ro-RO"/>
              </w:rPr>
              <w:t>Clozapine and COVID-19</w:t>
            </w:r>
          </w:p>
        </w:tc>
        <w:tc>
          <w:tcPr>
            <w:tcW w:w="2305" w:type="dxa"/>
          </w:tcPr>
          <w:p w:rsidR="003E6523" w:rsidRPr="00B6486B" w:rsidRDefault="003E6523" w:rsidP="00AE1690">
            <w:pPr>
              <w:rPr>
                <w:sz w:val="18"/>
                <w:lang w:val="ro-RO" w:eastAsia="ro-RO"/>
              </w:rPr>
            </w:pPr>
            <w:r w:rsidRPr="00B6486B">
              <w:rPr>
                <w:sz w:val="18"/>
                <w:lang w:val="ro-RO" w:eastAsia="ro-RO"/>
              </w:rPr>
              <w:t>BJPSYCH BULLETIN</w:t>
            </w:r>
          </w:p>
        </w:tc>
        <w:tc>
          <w:tcPr>
            <w:tcW w:w="8767" w:type="dxa"/>
          </w:tcPr>
          <w:p w:rsidR="003E6523" w:rsidRPr="00B6486B" w:rsidRDefault="003E6523" w:rsidP="00AE1690">
            <w:pPr>
              <w:rPr>
                <w:sz w:val="18"/>
                <w:lang w:val="ro-RO" w:eastAsia="ro-RO"/>
              </w:rPr>
            </w:pPr>
          </w:p>
        </w:tc>
      </w:tr>
      <w:tr w:rsidR="003E6523" w:rsidRPr="00B6486B" w:rsidTr="00181A3E">
        <w:tblPrEx>
          <w:jc w:val="left"/>
        </w:tblPrEx>
        <w:trPr>
          <w:trHeight w:val="470"/>
        </w:trPr>
        <w:tc>
          <w:tcPr>
            <w:tcW w:w="1555" w:type="dxa"/>
          </w:tcPr>
          <w:p w:rsidR="003E6523" w:rsidRPr="00B6486B" w:rsidRDefault="003E6523" w:rsidP="00AE1690">
            <w:pPr>
              <w:rPr>
                <w:sz w:val="18"/>
                <w:lang w:val="ro-RO" w:eastAsia="ro-RO"/>
              </w:rPr>
            </w:pPr>
            <w:r w:rsidRPr="00B6486B">
              <w:rPr>
                <w:sz w:val="18"/>
                <w:lang w:val="ro-RO" w:eastAsia="ro-RO"/>
              </w:rPr>
              <w:t>Boland, X; Dratcu, L, 2020</w:t>
            </w:r>
          </w:p>
        </w:tc>
        <w:tc>
          <w:tcPr>
            <w:tcW w:w="2829" w:type="dxa"/>
          </w:tcPr>
          <w:p w:rsidR="003E6523" w:rsidRPr="00B6486B" w:rsidRDefault="003E6523" w:rsidP="00AE1690">
            <w:pPr>
              <w:rPr>
                <w:sz w:val="18"/>
                <w:lang w:val="ro-RO" w:eastAsia="ro-RO"/>
              </w:rPr>
            </w:pPr>
            <w:r w:rsidRPr="00B6486B">
              <w:rPr>
                <w:sz w:val="18"/>
                <w:lang w:val="ro-RO" w:eastAsia="ro-RO"/>
              </w:rPr>
              <w:t>Clozapine in the Time of COVID-19</w:t>
            </w:r>
          </w:p>
        </w:tc>
        <w:tc>
          <w:tcPr>
            <w:tcW w:w="2305" w:type="dxa"/>
          </w:tcPr>
          <w:p w:rsidR="003E6523" w:rsidRPr="00B6486B" w:rsidRDefault="003E6523" w:rsidP="00AE1690">
            <w:pPr>
              <w:rPr>
                <w:sz w:val="18"/>
                <w:lang w:val="ro-RO" w:eastAsia="ro-RO"/>
              </w:rPr>
            </w:pPr>
            <w:r w:rsidRPr="00B6486B">
              <w:rPr>
                <w:sz w:val="18"/>
                <w:lang w:val="ro-RO" w:eastAsia="ro-RO"/>
              </w:rPr>
              <w:t>CLINICAL PSYCHOPHARMACOLOGY AND NEUROSCIENCE</w:t>
            </w:r>
          </w:p>
        </w:tc>
        <w:tc>
          <w:tcPr>
            <w:tcW w:w="8767" w:type="dxa"/>
          </w:tcPr>
          <w:p w:rsidR="003E6523" w:rsidRPr="00B6486B" w:rsidRDefault="003E6523" w:rsidP="00AE1690">
            <w:pPr>
              <w:rPr>
                <w:sz w:val="18"/>
                <w:lang w:val="ro-RO" w:eastAsia="ro-RO"/>
              </w:rPr>
            </w:pPr>
            <w:r w:rsidRPr="00B6486B">
              <w:rPr>
                <w:sz w:val="18"/>
                <w:lang w:val="ro-RO" w:eastAsia="ro-RO"/>
              </w:rPr>
              <w:t>Clozapine is the most effective antipsychotic for treatment resistant schizophrenia but adverse reactions to clozapine include neutropenia. The current COVID-19 pandemic may raise specific concerns for clinicians prescribing clozapine for patients who need it. We report on two actively psychotic patients with treatment resistant schizophrenia who required admission to our inner-London acute psychiatric unit during the COVID-19 pandemic and who were treated with clozapine. One was a young patient who developed COVID-19 symptoms and tested positive for the SARS-CoV-2 virus while receiving clozapine and the other was an aging man who tested negative for the SARS-CoV-2 virus but had contact with COVID-19 during initiation of clozapine treatment. Both responded to clozapine treatment and were safely discharged from hospital without any complication. These cases suggest that, in the absence of complications, exposure to COVID-19 per se and the onset of mild symptoms in those infected may not warrant withdrawal or postponement of clozapine treatment when this is indicated.</w:t>
            </w:r>
          </w:p>
        </w:tc>
      </w:tr>
      <w:tr w:rsidR="003E6523" w:rsidRPr="00B6486B" w:rsidTr="00181A3E">
        <w:tblPrEx>
          <w:jc w:val="left"/>
        </w:tblPrEx>
        <w:trPr>
          <w:trHeight w:val="1387"/>
        </w:trPr>
        <w:tc>
          <w:tcPr>
            <w:tcW w:w="1555" w:type="dxa"/>
          </w:tcPr>
          <w:p w:rsidR="003E6523" w:rsidRPr="00B6486B" w:rsidRDefault="003E6523" w:rsidP="00AE1690">
            <w:pPr>
              <w:rPr>
                <w:sz w:val="18"/>
                <w:lang w:val="ro-RO" w:eastAsia="ro-RO"/>
              </w:rPr>
            </w:pPr>
            <w:r w:rsidRPr="00B6486B">
              <w:rPr>
                <w:sz w:val="18"/>
                <w:lang w:val="ro-RO" w:eastAsia="ro-RO"/>
              </w:rPr>
              <w:t>Gee, S; Taylor, D, 2020</w:t>
            </w:r>
          </w:p>
        </w:tc>
        <w:tc>
          <w:tcPr>
            <w:tcW w:w="2829" w:type="dxa"/>
          </w:tcPr>
          <w:p w:rsidR="003E6523" w:rsidRPr="00B6486B" w:rsidRDefault="003E6523" w:rsidP="00AE1690">
            <w:pPr>
              <w:rPr>
                <w:sz w:val="18"/>
                <w:lang w:val="ro-RO" w:eastAsia="ro-RO"/>
              </w:rPr>
            </w:pPr>
            <w:r w:rsidRPr="00B6486B">
              <w:rPr>
                <w:sz w:val="18"/>
                <w:lang w:val="ro-RO" w:eastAsia="ro-RO"/>
              </w:rPr>
              <w:t>The effect of COVID-19 on absolute neutrophil counts in patients taking clozapine</w:t>
            </w:r>
          </w:p>
        </w:tc>
        <w:tc>
          <w:tcPr>
            <w:tcW w:w="2305" w:type="dxa"/>
          </w:tcPr>
          <w:p w:rsidR="003E6523" w:rsidRPr="00B6486B" w:rsidRDefault="003E6523" w:rsidP="00AE1690">
            <w:pPr>
              <w:rPr>
                <w:sz w:val="18"/>
                <w:lang w:val="ro-RO" w:eastAsia="ro-RO"/>
              </w:rPr>
            </w:pPr>
            <w:r w:rsidRPr="00B6486B">
              <w:rPr>
                <w:sz w:val="18"/>
                <w:lang w:val="ro-RO" w:eastAsia="ro-RO"/>
              </w:rPr>
              <w:t>THERAPEUTIC ADVANCES IN PSYCHOPHARMACOLOGY</w:t>
            </w:r>
          </w:p>
        </w:tc>
        <w:tc>
          <w:tcPr>
            <w:tcW w:w="8767" w:type="dxa"/>
          </w:tcPr>
          <w:p w:rsidR="003E6523" w:rsidRPr="00B6486B" w:rsidRDefault="003E6523" w:rsidP="00AE1690">
            <w:pPr>
              <w:rPr>
                <w:sz w:val="18"/>
                <w:lang w:val="ro-RO" w:eastAsia="ro-RO"/>
              </w:rPr>
            </w:pPr>
            <w:r w:rsidRPr="00B6486B">
              <w:rPr>
                <w:sz w:val="18"/>
                <w:lang w:val="ro-RO" w:eastAsia="ro-RO"/>
              </w:rPr>
              <w:t>Clozapine is associated with haematological side effects, including neutropaenia, which can signal impending life-threatening agranulocytosis. Patients with COVID-19 infection frequently experience lymphopaenia, but not neutropaenia. We present 13 patients established on clozapine who developed COVID-19 infection. There were no significant differences in total white cell or neutrophil counts between pre-COVID-19, intra-COVID-19 or post-COVID-19 periods. We therefore suggest that patients who develop COVID-19 should generally have their clozapine treatment continued. Patients taking clozapine who develop neutroapaenia during COVID-19 infection should be investigated and monitored as in normal practice, because changes in neutrophil counts cannot be assumed to be due to the viral infection.</w:t>
            </w:r>
          </w:p>
        </w:tc>
      </w:tr>
      <w:tr w:rsidR="003E6523" w:rsidRPr="00B6486B" w:rsidTr="00181A3E">
        <w:tblPrEx>
          <w:jc w:val="left"/>
        </w:tblPrEx>
        <w:trPr>
          <w:trHeight w:val="1124"/>
        </w:trPr>
        <w:tc>
          <w:tcPr>
            <w:tcW w:w="1555" w:type="dxa"/>
          </w:tcPr>
          <w:p w:rsidR="003E6523" w:rsidRPr="00B6486B" w:rsidRDefault="003E6523" w:rsidP="00AE1690">
            <w:pPr>
              <w:rPr>
                <w:sz w:val="18"/>
                <w:lang w:val="ro-RO" w:eastAsia="ro-RO"/>
              </w:rPr>
            </w:pPr>
            <w:r w:rsidRPr="00B6486B">
              <w:rPr>
                <w:sz w:val="18"/>
                <w:lang w:val="ro-RO" w:eastAsia="ro-RO"/>
              </w:rPr>
              <w:t>Bouaziz, N; Ben Rejeb, et al., 2020</w:t>
            </w:r>
          </w:p>
        </w:tc>
        <w:tc>
          <w:tcPr>
            <w:tcW w:w="2829" w:type="dxa"/>
          </w:tcPr>
          <w:p w:rsidR="003E6523" w:rsidRPr="00B6486B" w:rsidRDefault="003E6523" w:rsidP="00AE1690">
            <w:pPr>
              <w:rPr>
                <w:sz w:val="18"/>
                <w:lang w:val="ro-RO" w:eastAsia="ro-RO"/>
              </w:rPr>
            </w:pPr>
            <w:r w:rsidRPr="00B6486B">
              <w:rPr>
                <w:sz w:val="18"/>
                <w:lang w:val="ro-RO" w:eastAsia="ro-RO"/>
              </w:rPr>
              <w:t>Thoughts on a favourable evolution of a COVID-19 in a patient with resistant schizophrenia and on a combination of clozapine and paliperidone palmitate</w:t>
            </w:r>
          </w:p>
        </w:tc>
        <w:tc>
          <w:tcPr>
            <w:tcW w:w="2305" w:type="dxa"/>
          </w:tcPr>
          <w:p w:rsidR="003E6523" w:rsidRPr="00B6486B" w:rsidRDefault="003E6523" w:rsidP="00AE1690">
            <w:pPr>
              <w:rPr>
                <w:sz w:val="18"/>
                <w:lang w:val="ro-RO" w:eastAsia="ro-RO"/>
              </w:rPr>
            </w:pPr>
            <w:r w:rsidRPr="00B6486B">
              <w:rPr>
                <w:sz w:val="18"/>
                <w:lang w:val="ro-RO" w:eastAsia="ro-RO"/>
              </w:rPr>
              <w:t>ENCEPHALE-REVUE DE PSYCHIATRIE CLINIQUE BIOLOGIQUE ET THERAPEUTIQUE</w:t>
            </w:r>
          </w:p>
        </w:tc>
        <w:tc>
          <w:tcPr>
            <w:tcW w:w="8767" w:type="dxa"/>
          </w:tcPr>
          <w:p w:rsidR="003E6523" w:rsidRPr="00B6486B" w:rsidRDefault="003E6523" w:rsidP="00AE1690">
            <w:pPr>
              <w:rPr>
                <w:sz w:val="18"/>
                <w:lang w:val="ro-RO" w:eastAsia="ro-RO"/>
              </w:rPr>
            </w:pPr>
          </w:p>
        </w:tc>
      </w:tr>
      <w:tr w:rsidR="003E6523" w:rsidRPr="00B6486B" w:rsidTr="00181A3E">
        <w:tblPrEx>
          <w:jc w:val="left"/>
        </w:tblPrEx>
        <w:trPr>
          <w:trHeight w:val="470"/>
        </w:trPr>
        <w:tc>
          <w:tcPr>
            <w:tcW w:w="1555" w:type="dxa"/>
          </w:tcPr>
          <w:p w:rsidR="003E6523" w:rsidRPr="00B6486B" w:rsidRDefault="003E6523" w:rsidP="00AE1690">
            <w:pPr>
              <w:rPr>
                <w:sz w:val="18"/>
                <w:lang w:val="ro-RO" w:eastAsia="ro-RO"/>
              </w:rPr>
            </w:pPr>
            <w:r w:rsidRPr="00B6486B">
              <w:rPr>
                <w:sz w:val="18"/>
                <w:lang w:val="ro-RO" w:eastAsia="ro-RO"/>
              </w:rPr>
              <w:t>Gee, S; Gaughran, F; MacCabe,et al., 2020</w:t>
            </w:r>
          </w:p>
        </w:tc>
        <w:tc>
          <w:tcPr>
            <w:tcW w:w="2829" w:type="dxa"/>
          </w:tcPr>
          <w:p w:rsidR="003E6523" w:rsidRPr="00B6486B" w:rsidRDefault="003E6523" w:rsidP="00AE1690">
            <w:pPr>
              <w:rPr>
                <w:sz w:val="18"/>
                <w:lang w:val="ro-RO" w:eastAsia="ro-RO"/>
              </w:rPr>
            </w:pPr>
            <w:r w:rsidRPr="00B6486B">
              <w:rPr>
                <w:sz w:val="18"/>
                <w:lang w:val="ro-RO" w:eastAsia="ro-RO"/>
              </w:rPr>
              <w:t>Management of clozapine treatment during the COVID-19 pandemic</w:t>
            </w:r>
          </w:p>
        </w:tc>
        <w:tc>
          <w:tcPr>
            <w:tcW w:w="2305" w:type="dxa"/>
          </w:tcPr>
          <w:p w:rsidR="003E6523" w:rsidRPr="00B6486B" w:rsidRDefault="003E6523" w:rsidP="00AE1690">
            <w:pPr>
              <w:rPr>
                <w:sz w:val="18"/>
                <w:lang w:val="ro-RO" w:eastAsia="ro-RO"/>
              </w:rPr>
            </w:pPr>
            <w:r w:rsidRPr="00B6486B">
              <w:rPr>
                <w:sz w:val="18"/>
                <w:lang w:val="ro-RO" w:eastAsia="ro-RO"/>
              </w:rPr>
              <w:t>THERAPEUTIC ADVANCES IN PSYCHOPHARMACOLOGY</w:t>
            </w:r>
          </w:p>
        </w:tc>
        <w:tc>
          <w:tcPr>
            <w:tcW w:w="8767" w:type="dxa"/>
          </w:tcPr>
          <w:p w:rsidR="003E6523" w:rsidRPr="00B6486B" w:rsidRDefault="003E6523" w:rsidP="00AE1690">
            <w:pPr>
              <w:rPr>
                <w:sz w:val="18"/>
                <w:lang w:val="ro-RO" w:eastAsia="ro-RO"/>
              </w:rPr>
            </w:pPr>
            <w:r w:rsidRPr="00B6486B">
              <w:rPr>
                <w:sz w:val="18"/>
                <w:lang w:val="ro-RO" w:eastAsia="ro-RO"/>
              </w:rPr>
              <w:t xml:space="preserve">Clozapine is the only available treatment for refractory schizophrenia but its use involves frequent physical contact with healthcare workers for the purpose of mandatory blood monitoring. During the COVID-19 pandemic, patients taking clozapine will be self-isolating to reduce the risk of infection, not least because these patients are at high risk of serious illness and fatality because of high rates of diabetes, obesity and pulmonary disease and an increased risk of pneumonia. Problems may also arise because both clozapine-induced myocarditis and neutropenic sepsis share signs and symptoms with COVID-19 (fever, chest pain, dyspnoea, etc.). We recommend decreasing the frequency of physical contacts by extending the blood monitoring interval to 12 weeks in those patients taking clozapine for more than 1 year. To distinguish COVID-19 from clozapine-related physical adverse effects, we suggest an urgent antigen test alongside a full blood count. In those taking clozapine who develop COVID-19, we suggest continuing with clozapine whenever possible (even during ventilation), reducing the dose if necessary in line with </w:t>
            </w:r>
            <w:r w:rsidRPr="00B6486B">
              <w:rPr>
                <w:sz w:val="18"/>
                <w:lang w:val="ro-RO" w:eastAsia="ro-RO"/>
              </w:rPr>
              <w:lastRenderedPageBreak/>
              <w:t>blood assay results. Blood monitoring should continue but clozapine should only cease if there is a significant fall in neutrophils (COVID-19 is linked to lymphopenia but not neutropenia). To protect against the likelihood and severity of respiratory infection, we recommend the use of vitamin D in all clozapine patients. Initiation of clozapine is likely to remain problematic while the risk of infection remains, given the degree of physical contact required to assure safety.</w:t>
            </w:r>
          </w:p>
        </w:tc>
      </w:tr>
    </w:tbl>
    <w:p w:rsidR="00DF61B3" w:rsidRDefault="00DF61B3" w:rsidP="00AE1690"/>
    <w:p w:rsidR="00B6486B" w:rsidRDefault="00B6486B" w:rsidP="00AE1690"/>
    <w:sectPr w:rsidR="00B6486B" w:rsidSect="00985D66">
      <w:pgSz w:w="16838" w:h="11906" w:orient="landscape"/>
      <w:pgMar w:top="709" w:right="1440"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E0624C"/>
    <w:multiLevelType w:val="hybridMultilevel"/>
    <w:tmpl w:val="8F6C943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50A245F"/>
    <w:multiLevelType w:val="hybridMultilevel"/>
    <w:tmpl w:val="29E20A30"/>
    <w:lvl w:ilvl="0" w:tplc="1AF444CE">
      <w:start w:val="1"/>
      <w:numFmt w:val="decimal"/>
      <w:lvlText w:val="%1."/>
      <w:lvlJc w:val="left"/>
      <w:pPr>
        <w:ind w:left="420" w:hanging="4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U3M7U0N7ewMDQ0sjRS0lEKTi0uzszPAykwqQUAcWXv7iwAAAA="/>
  </w:docVars>
  <w:rsids>
    <w:rsidRoot w:val="00985D66"/>
    <w:rsid w:val="000147FA"/>
    <w:rsid w:val="00136B1B"/>
    <w:rsid w:val="003E6523"/>
    <w:rsid w:val="00650960"/>
    <w:rsid w:val="00683CC8"/>
    <w:rsid w:val="0079425B"/>
    <w:rsid w:val="007B0602"/>
    <w:rsid w:val="00810455"/>
    <w:rsid w:val="0083461F"/>
    <w:rsid w:val="008E5DBE"/>
    <w:rsid w:val="00985D66"/>
    <w:rsid w:val="00AC2380"/>
    <w:rsid w:val="00AE1690"/>
    <w:rsid w:val="00B6486B"/>
    <w:rsid w:val="00C82FD7"/>
    <w:rsid w:val="00D078F7"/>
    <w:rsid w:val="00DF61B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20751F-D17D-48E1-BBBE-612A9161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690"/>
    <w:pPr>
      <w:adjustRightInd w:val="0"/>
      <w:snapToGrid w:val="0"/>
      <w:spacing w:after="0" w:line="240" w:lineRule="auto"/>
      <w:jc w:val="both"/>
    </w:pPr>
    <w:rPr>
      <w:rFonts w:ascii="Palatino Linotype" w:eastAsia="SimSun" w:hAnsi="Palatino Linotype" w:cs="Times New Roman"/>
      <w:snapToGrid w:val="0"/>
      <w:color w:val="000000"/>
      <w:sz w:val="20"/>
      <w:szCs w:val="20"/>
      <w:lang w:val="en-US" w:eastAsia="de-DE"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5D66"/>
    <w:pPr>
      <w:spacing w:after="0" w:line="240" w:lineRule="auto"/>
    </w:pPr>
    <w:rPr>
      <w:rFonts w:ascii="Times New Roman" w:eastAsia="SimSu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DPI71References">
    <w:name w:val="MDPI_7.1_References"/>
    <w:basedOn w:val="Normal"/>
    <w:qFormat/>
    <w:rsid w:val="00AC2380"/>
    <w:rPr>
      <w:snapToGrid/>
      <w:sz w:val="14"/>
    </w:rPr>
  </w:style>
  <w:style w:type="paragraph" w:styleId="Caption">
    <w:name w:val="caption"/>
    <w:basedOn w:val="Normal"/>
    <w:next w:val="Normal"/>
    <w:uiPriority w:val="35"/>
    <w:unhideWhenUsed/>
    <w:qFormat/>
    <w:rsid w:val="00D078F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110316">
      <w:bodyDiv w:val="1"/>
      <w:marLeft w:val="0"/>
      <w:marRight w:val="0"/>
      <w:marTop w:val="0"/>
      <w:marBottom w:val="0"/>
      <w:divBdr>
        <w:top w:val="none" w:sz="0" w:space="0" w:color="auto"/>
        <w:left w:val="none" w:sz="0" w:space="0" w:color="auto"/>
        <w:bottom w:val="none" w:sz="0" w:space="0" w:color="auto"/>
        <w:right w:val="none" w:sz="0" w:space="0" w:color="auto"/>
      </w:divBdr>
    </w:div>
    <w:div w:id="646402240">
      <w:bodyDiv w:val="1"/>
      <w:marLeft w:val="0"/>
      <w:marRight w:val="0"/>
      <w:marTop w:val="0"/>
      <w:marBottom w:val="0"/>
      <w:divBdr>
        <w:top w:val="none" w:sz="0" w:space="0" w:color="auto"/>
        <w:left w:val="none" w:sz="0" w:space="0" w:color="auto"/>
        <w:bottom w:val="none" w:sz="0" w:space="0" w:color="auto"/>
        <w:right w:val="none" w:sz="0" w:space="0" w:color="auto"/>
      </w:divBdr>
    </w:div>
    <w:div w:id="719017653">
      <w:bodyDiv w:val="1"/>
      <w:marLeft w:val="0"/>
      <w:marRight w:val="0"/>
      <w:marTop w:val="0"/>
      <w:marBottom w:val="0"/>
      <w:divBdr>
        <w:top w:val="none" w:sz="0" w:space="0" w:color="auto"/>
        <w:left w:val="none" w:sz="0" w:space="0" w:color="auto"/>
        <w:bottom w:val="none" w:sz="0" w:space="0" w:color="auto"/>
        <w:right w:val="none" w:sz="0" w:space="0" w:color="auto"/>
      </w:divBdr>
    </w:div>
    <w:div w:id="833836020">
      <w:bodyDiv w:val="1"/>
      <w:marLeft w:val="0"/>
      <w:marRight w:val="0"/>
      <w:marTop w:val="0"/>
      <w:marBottom w:val="0"/>
      <w:divBdr>
        <w:top w:val="none" w:sz="0" w:space="0" w:color="auto"/>
        <w:left w:val="none" w:sz="0" w:space="0" w:color="auto"/>
        <w:bottom w:val="none" w:sz="0" w:space="0" w:color="auto"/>
        <w:right w:val="none" w:sz="0" w:space="0" w:color="auto"/>
      </w:divBdr>
    </w:div>
    <w:div w:id="1061709337">
      <w:bodyDiv w:val="1"/>
      <w:marLeft w:val="0"/>
      <w:marRight w:val="0"/>
      <w:marTop w:val="0"/>
      <w:marBottom w:val="0"/>
      <w:divBdr>
        <w:top w:val="none" w:sz="0" w:space="0" w:color="auto"/>
        <w:left w:val="none" w:sz="0" w:space="0" w:color="auto"/>
        <w:bottom w:val="none" w:sz="0" w:space="0" w:color="auto"/>
        <w:right w:val="none" w:sz="0" w:space="0" w:color="auto"/>
      </w:divBdr>
    </w:div>
    <w:div w:id="1403482251">
      <w:bodyDiv w:val="1"/>
      <w:marLeft w:val="0"/>
      <w:marRight w:val="0"/>
      <w:marTop w:val="0"/>
      <w:marBottom w:val="0"/>
      <w:divBdr>
        <w:top w:val="none" w:sz="0" w:space="0" w:color="auto"/>
        <w:left w:val="none" w:sz="0" w:space="0" w:color="auto"/>
        <w:bottom w:val="none" w:sz="0" w:space="0" w:color="auto"/>
        <w:right w:val="none" w:sz="0" w:space="0" w:color="auto"/>
      </w:divBdr>
    </w:div>
    <w:div w:id="1476798638">
      <w:bodyDiv w:val="1"/>
      <w:marLeft w:val="0"/>
      <w:marRight w:val="0"/>
      <w:marTop w:val="0"/>
      <w:marBottom w:val="0"/>
      <w:divBdr>
        <w:top w:val="none" w:sz="0" w:space="0" w:color="auto"/>
        <w:left w:val="none" w:sz="0" w:space="0" w:color="auto"/>
        <w:bottom w:val="none" w:sz="0" w:space="0" w:color="auto"/>
        <w:right w:val="none" w:sz="0" w:space="0" w:color="auto"/>
      </w:divBdr>
    </w:div>
    <w:div w:id="1578519087">
      <w:bodyDiv w:val="1"/>
      <w:marLeft w:val="0"/>
      <w:marRight w:val="0"/>
      <w:marTop w:val="0"/>
      <w:marBottom w:val="0"/>
      <w:divBdr>
        <w:top w:val="none" w:sz="0" w:space="0" w:color="auto"/>
        <w:left w:val="none" w:sz="0" w:space="0" w:color="auto"/>
        <w:bottom w:val="none" w:sz="0" w:space="0" w:color="auto"/>
        <w:right w:val="none" w:sz="0" w:space="0" w:color="auto"/>
      </w:divBdr>
    </w:div>
    <w:div w:id="1826631211">
      <w:bodyDiv w:val="1"/>
      <w:marLeft w:val="0"/>
      <w:marRight w:val="0"/>
      <w:marTop w:val="0"/>
      <w:marBottom w:val="0"/>
      <w:divBdr>
        <w:top w:val="none" w:sz="0" w:space="0" w:color="auto"/>
        <w:left w:val="none" w:sz="0" w:space="0" w:color="auto"/>
        <w:bottom w:val="none" w:sz="0" w:space="0" w:color="auto"/>
        <w:right w:val="none" w:sz="0" w:space="0" w:color="auto"/>
      </w:divBdr>
    </w:div>
    <w:div w:id="187249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641</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Anca Pop</dc:creator>
  <cp:keywords/>
  <dc:description/>
  <cp:lastModifiedBy>Anca Pop</cp:lastModifiedBy>
  <cp:revision>2</cp:revision>
  <dcterms:created xsi:type="dcterms:W3CDTF">2020-09-28T20:29:00Z</dcterms:created>
  <dcterms:modified xsi:type="dcterms:W3CDTF">2020-09-28T20:29:00Z</dcterms:modified>
</cp:coreProperties>
</file>